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proofErr w:type="spellStart"/>
            <w:r w:rsidRPr="00B80AB9">
              <w:rPr>
                <w:rFonts w:ascii="Tahoma" w:hAnsi="Tahoma" w:cs="Tahoma"/>
                <w:b/>
                <w:sz w:val="16"/>
                <w:szCs w:val="16"/>
              </w:rPr>
              <w:t>Γ.β</w:t>
            </w:r>
            <w:proofErr w:type="spellEnd"/>
            <w:r w:rsidRPr="00B80AB9">
              <w:rPr>
                <w:rFonts w:ascii="Tahoma" w:hAnsi="Tahoma" w:cs="Tahoma"/>
                <w:b/>
                <w:sz w:val="16"/>
                <w:szCs w:val="16"/>
              </w:rPr>
              <w:t>.</w:t>
            </w:r>
            <w:r w:rsidRPr="00B80AB9">
              <w:rPr>
                <w:rFonts w:ascii="Tahoma" w:hAnsi="Tahoma" w:cs="Tahoma"/>
                <w:bCs/>
                <w:sz w:val="16"/>
                <w:szCs w:val="16"/>
              </w:rPr>
              <w:t xml:space="preserve"> ή/και </w:t>
            </w:r>
            <w:proofErr w:type="spellStart"/>
            <w:r w:rsidRPr="00B80AB9">
              <w:rPr>
                <w:rFonts w:ascii="Tahoma" w:hAnsi="Tahoma" w:cs="Tahoma"/>
                <w:b/>
                <w:sz w:val="16"/>
                <w:szCs w:val="16"/>
              </w:rPr>
              <w:t>Γ.γ</w:t>
            </w:r>
            <w:proofErr w:type="spellEnd"/>
            <w:r w:rsidRPr="00B80AB9">
              <w:rPr>
                <w:rFonts w:ascii="Tahoma" w:hAnsi="Tahoma" w:cs="Tahoma"/>
                <w:b/>
                <w:sz w:val="16"/>
                <w:szCs w:val="16"/>
              </w:rPr>
              <w:t>.</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proofErr w:type="spellStart"/>
            <w:r w:rsidRPr="00B80AB9">
              <w:rPr>
                <w:rFonts w:ascii="Tahoma" w:hAnsi="Tahoma" w:cs="Tahoma"/>
                <w:b/>
                <w:sz w:val="16"/>
                <w:szCs w:val="16"/>
              </w:rPr>
              <w:t>Ε.δ.</w:t>
            </w:r>
            <w:proofErr w:type="spellEnd"/>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tcPr>
          <w:p w:rsidR="00032328" w:rsidRPr="00B80AB9" w:rsidRDefault="00032328" w:rsidP="00B80AB9">
            <w:pPr>
              <w:jc w:val="both"/>
              <w:rPr>
                <w:rFonts w:ascii="Arial" w:hAnsi="Arial" w:cs="Arial"/>
                <w:b/>
                <w:sz w:val="18"/>
                <w:szCs w:val="18"/>
              </w:rPr>
            </w:pPr>
          </w:p>
        </w:tc>
        <w:tc>
          <w:tcPr>
            <w:tcW w:w="470" w:type="dxa"/>
            <w:vMerge/>
            <w:tcBorders>
              <w:bottom w:val="nil"/>
            </w:tcBorders>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rsidR="00032328" w:rsidRPr="00B80AB9" w:rsidRDefault="00032328" w:rsidP="00B80AB9">
            <w:pPr>
              <w:jc w:val="both"/>
              <w:rPr>
                <w:rFonts w:ascii="Arial" w:hAnsi="Arial" w:cs="Arial"/>
                <w:b/>
                <w:sz w:val="18"/>
                <w:szCs w:val="18"/>
              </w:rPr>
            </w:pPr>
          </w:p>
        </w:tc>
        <w:tc>
          <w:tcPr>
            <w:tcW w:w="463" w:type="dxa"/>
            <w:tcBorders>
              <w:left w:val="nil"/>
              <w:right w:val="nil"/>
            </w:tcBorders>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πολυτεκνικής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tcPr>
          <w:p w:rsidR="00032328" w:rsidRPr="00B80AB9" w:rsidRDefault="00032328" w:rsidP="00B80AB9">
            <w:pPr>
              <w:jc w:val="both"/>
              <w:rPr>
                <w:rFonts w:ascii="Arial" w:hAnsi="Arial" w:cs="Arial"/>
                <w:sz w:val="18"/>
                <w:szCs w:val="18"/>
              </w:rPr>
            </w:pPr>
          </w:p>
        </w:tc>
        <w:tc>
          <w:tcPr>
            <w:tcW w:w="245" w:type="dxa"/>
            <w:tcBorders>
              <w:top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tcPr>
          <w:p w:rsidR="00032328" w:rsidRPr="00B80AB9" w:rsidRDefault="00032328" w:rsidP="00B80AB9">
            <w:pPr>
              <w:jc w:val="both"/>
              <w:rPr>
                <w:rFonts w:ascii="Tahoma" w:hAnsi="Tahoma" w:cs="Tahoma"/>
                <w:sz w:val="16"/>
                <w:szCs w:val="16"/>
              </w:rPr>
            </w:pPr>
          </w:p>
        </w:tc>
        <w:tc>
          <w:tcPr>
            <w:tcW w:w="463" w:type="dxa"/>
            <w:tcBorders>
              <w:left w:val="nil"/>
              <w:right w:val="nil"/>
            </w:tcBorders>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tcPr>
          <w:p w:rsidR="00032328" w:rsidRPr="00B80AB9" w:rsidRDefault="00032328" w:rsidP="00B80AB9">
            <w:pPr>
              <w:jc w:val="both"/>
              <w:rPr>
                <w:rFonts w:ascii="Arial" w:hAnsi="Arial" w:cs="Arial"/>
                <w:b/>
                <w:sz w:val="18"/>
                <w:szCs w:val="18"/>
              </w:rPr>
            </w:pPr>
            <w:proofErr w:type="spellStart"/>
            <w:r w:rsidRPr="00F467F0">
              <w:rPr>
                <w:rFonts w:ascii="Arial" w:hAnsi="Arial" w:cs="Arial"/>
                <w:b/>
                <w:sz w:val="18"/>
                <w:szCs w:val="18"/>
              </w:rPr>
              <w:t>Τρίτεκνος</w:t>
            </w:r>
            <w:proofErr w:type="spellEnd"/>
            <w:r w:rsidRPr="00F467F0">
              <w:rPr>
                <w:rFonts w:ascii="Arial" w:hAnsi="Arial" w:cs="Arial"/>
                <w:b/>
                <w:sz w:val="18"/>
                <w:szCs w:val="18"/>
              </w:rPr>
              <w:t xml:space="preserve"> ή Τέκνο </w:t>
            </w:r>
            <w:proofErr w:type="spellStart"/>
            <w:r w:rsidRPr="00F467F0">
              <w:rPr>
                <w:rFonts w:ascii="Arial" w:hAnsi="Arial" w:cs="Arial"/>
                <w:b/>
                <w:sz w:val="18"/>
                <w:szCs w:val="18"/>
              </w:rPr>
              <w:t>τρίτεκνης</w:t>
            </w:r>
            <w:proofErr w:type="spellEnd"/>
            <w:r w:rsidRPr="00F467F0">
              <w:rPr>
                <w:rFonts w:ascii="Arial" w:hAnsi="Arial" w:cs="Arial"/>
                <w:b/>
                <w:sz w:val="18"/>
                <w:szCs w:val="18"/>
              </w:rPr>
              <w:t xml:space="preserve"> οικογένειας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tcPr>
          <w:p w:rsidR="00032328" w:rsidRPr="00B80AB9" w:rsidRDefault="00032328" w:rsidP="00B80AB9">
            <w:pPr>
              <w:jc w:val="both"/>
              <w:rPr>
                <w:rFonts w:ascii="Arial" w:hAnsi="Arial" w:cs="Arial"/>
                <w:sz w:val="18"/>
                <w:szCs w:val="18"/>
              </w:rPr>
            </w:pPr>
          </w:p>
        </w:tc>
        <w:tc>
          <w:tcPr>
            <w:tcW w:w="245" w:type="dxa"/>
            <w:tcBorders>
              <w:top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tcPr>
          <w:p w:rsidR="00032328" w:rsidRPr="00B80AB9" w:rsidRDefault="00032328" w:rsidP="00B80AB9">
            <w:pPr>
              <w:jc w:val="both"/>
              <w:rPr>
                <w:rFonts w:ascii="Arial" w:hAnsi="Arial" w:cs="Arial"/>
                <w:b/>
                <w:sz w:val="18"/>
                <w:szCs w:val="18"/>
              </w:rPr>
            </w:pPr>
          </w:p>
        </w:tc>
        <w:tc>
          <w:tcPr>
            <w:tcW w:w="463" w:type="dxa"/>
            <w:tcBorders>
              <w:left w:val="nil"/>
              <w:right w:val="nil"/>
            </w:tcBorders>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B80AB9">
              <w:rPr>
                <w:rFonts w:ascii="Tahoma" w:hAnsi="Tahoma" w:cs="Tahoma"/>
                <w:sz w:val="16"/>
                <w:szCs w:val="16"/>
              </w:rPr>
              <w:t>τριτεκνικής</w:t>
            </w:r>
            <w:proofErr w:type="spellEnd"/>
            <w:r w:rsidRPr="00B80AB9">
              <w:rPr>
                <w:rFonts w:ascii="Tahoma" w:hAnsi="Tahoma" w:cs="Tahoma"/>
                <w:sz w:val="16"/>
                <w:szCs w:val="16"/>
              </w:rPr>
              <w:t xml:space="preserve"> ιδιότητας</w:t>
            </w:r>
          </w:p>
        </w:tc>
        <w:tc>
          <w:tcPr>
            <w:tcW w:w="463" w:type="dxa"/>
            <w:tcBorders>
              <w:bottom w:val="single" w:sz="4" w:space="0" w:color="auto"/>
            </w:tcBorders>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tcPr>
          <w:p w:rsidR="00032328" w:rsidRPr="00B80AB9" w:rsidRDefault="00032328" w:rsidP="00B80AB9">
            <w:pPr>
              <w:jc w:val="both"/>
              <w:rPr>
                <w:rFonts w:ascii="Arial" w:hAnsi="Arial" w:cs="Arial"/>
                <w:sz w:val="18"/>
                <w:szCs w:val="18"/>
              </w:rPr>
            </w:pPr>
          </w:p>
        </w:tc>
        <w:tc>
          <w:tcPr>
            <w:tcW w:w="506" w:type="dxa"/>
            <w:tcBorders>
              <w:top w:val="nil"/>
              <w:left w:val="nil"/>
              <w:right w:val="nil"/>
            </w:tcBorders>
          </w:tcPr>
          <w:p w:rsidR="00032328" w:rsidRPr="00B80AB9" w:rsidRDefault="00032328" w:rsidP="00B80AB9">
            <w:pPr>
              <w:jc w:val="both"/>
              <w:rPr>
                <w:rFonts w:ascii="Arial" w:hAnsi="Arial" w:cs="Arial"/>
                <w:sz w:val="18"/>
                <w:szCs w:val="18"/>
              </w:rPr>
            </w:pPr>
          </w:p>
        </w:tc>
        <w:tc>
          <w:tcPr>
            <w:tcW w:w="245" w:type="dxa"/>
            <w:tcBorders>
              <w:top w:val="nil"/>
              <w:left w:val="nil"/>
            </w:tcBorders>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DB2" w:rsidRDefault="00FE7DB2">
      <w:r>
        <w:separator/>
      </w:r>
    </w:p>
  </w:endnote>
  <w:endnote w:type="continuationSeparator" w:id="0">
    <w:p w:rsidR="00FE7DB2" w:rsidRDefault="00FE7DB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DB2" w:rsidRDefault="00FE7DB2">
      <w:r>
        <w:separator/>
      </w:r>
    </w:p>
  </w:footnote>
  <w:footnote w:type="continuationSeparator" w:id="0">
    <w:p w:rsidR="00FE7DB2" w:rsidRDefault="00FE7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57"/>
  <w:noPunctuationKerning/>
  <w:characterSpacingControl w:val="doNotCompress"/>
  <w:hdrShapeDefaults>
    <o:shapedefaults v:ext="edit" spidmax="3074">
      <v:stroke weight=".5pt"/>
    </o:shapedefaults>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0644"/>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3862"/>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6EA8"/>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E7DB2"/>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Olga</cp:lastModifiedBy>
  <cp:revision>2</cp:revision>
  <cp:lastPrinted>2025-02-17T11:23:00Z</cp:lastPrinted>
  <dcterms:created xsi:type="dcterms:W3CDTF">2025-10-29T10:02:00Z</dcterms:created>
  <dcterms:modified xsi:type="dcterms:W3CDTF">2025-10-29T10:02:00Z</dcterms:modified>
</cp:coreProperties>
</file>